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52EE09F" w:rsidR="00A27829" w:rsidRPr="00885E80" w:rsidRDefault="003714F8" w:rsidP="00A27829">
      <w:pPr>
        <w:pStyle w:val="Head"/>
        <w:rPr>
          <w:lang w:val="en-US"/>
        </w:rPr>
      </w:pPr>
      <w:r>
        <w:rPr>
          <w:lang w:val="fr-FR"/>
        </w:rPr>
        <w:t>Le Wirtgen Group attire le public en masse et convainc avec sa diversité d’innovation à la Bauma 2025</w:t>
      </w:r>
    </w:p>
    <w:p w14:paraId="26F0996C" w14:textId="046EB58D" w:rsidR="00A46F1E" w:rsidRPr="00885E80" w:rsidRDefault="003714F8" w:rsidP="00881E44">
      <w:pPr>
        <w:pStyle w:val="Subhead"/>
        <w:rPr>
          <w:lang w:val="en-US"/>
        </w:rPr>
      </w:pPr>
      <w:r>
        <w:rPr>
          <w:bCs/>
          <w:iCs w:val="0"/>
          <w:lang w:val="fr-FR"/>
        </w:rPr>
        <w:t>Les nouveautés mondiales, les shows en direct et la Technology Zone ne se contentent pas d’afficher la vision pour la construction routière de demain</w:t>
      </w:r>
    </w:p>
    <w:p w14:paraId="3ECC044D" w14:textId="11407AB6" w:rsidR="00D24C0A" w:rsidRPr="00885E80" w:rsidRDefault="003D5D3F" w:rsidP="001A0325">
      <w:pPr>
        <w:pStyle w:val="Standardabsatz"/>
        <w:rPr>
          <w:b/>
          <w:bCs/>
          <w:lang w:val="fr-FR"/>
        </w:rPr>
      </w:pPr>
      <w:r>
        <w:rPr>
          <w:b/>
          <w:bCs/>
          <w:lang w:val="fr-FR"/>
        </w:rPr>
        <w:t>Quelque 100 machines exposées, dont 4</w:t>
      </w:r>
      <w:r w:rsidR="00267DFA">
        <w:rPr>
          <w:b/>
          <w:bCs/>
          <w:lang w:val="fr-FR"/>
        </w:rPr>
        <w:t>5</w:t>
      </w:r>
      <w:r>
        <w:rPr>
          <w:b/>
          <w:bCs/>
          <w:lang w:val="fr-FR"/>
        </w:rPr>
        <w:t> nouveautés mondiales et innovations ainsi que de nombreuses technologies ont attiré le public sur le stand du Wirtgen Group et de John Deere. Les shows en direct ont tout particulièrement fait salle comble : les experts des deux entreprises ont livré aux visiteurs sur des écrans LED géants une vision captivant de la construction routière, du terrassement et du retraitement des matériaux de demain. De la machine aux méthodes d’application efficientes en passant par les technologies de numérisation et d’automatisation fiables, la palette des solutions clients présentées était immense.</w:t>
      </w:r>
    </w:p>
    <w:p w14:paraId="34F35CB3" w14:textId="0D358B74" w:rsidR="00E31C19" w:rsidRPr="00885E80" w:rsidRDefault="006243EF" w:rsidP="00954BA8">
      <w:pPr>
        <w:pStyle w:val="Standardabsatz"/>
        <w:spacing w:after="0"/>
        <w:rPr>
          <w:b/>
          <w:bCs/>
          <w:lang w:val="en-US"/>
        </w:rPr>
      </w:pPr>
      <w:r>
        <w:rPr>
          <w:b/>
          <w:bCs/>
          <w:lang w:val="fr-FR"/>
        </w:rPr>
        <w:t>Les projets de construction passent au numérique</w:t>
      </w:r>
    </w:p>
    <w:p w14:paraId="3BD9FFD5" w14:textId="44576901" w:rsidR="00C05823" w:rsidRPr="00885E80" w:rsidRDefault="004C6405" w:rsidP="00843B87">
      <w:pPr>
        <w:pStyle w:val="Standardabsatz"/>
        <w:spacing w:after="0"/>
        <w:rPr>
          <w:lang w:val="en-US"/>
        </w:rPr>
      </w:pPr>
      <w:r>
        <w:rPr>
          <w:lang w:val="fr-FR"/>
        </w:rPr>
        <w:t>Au cœur de la Technology Zone était présenté le John Deere Operations Center™ pour les machines de construction, qui constitue la plateforme centralisée pour les solutions numériques de gestion des chantiers. Par ailleurs, les visiteurs ont pu découvrir pour la première fois les nouvelles technologies Wirtgen Group Performance Tracker (WPT) Paving, WPT Compacting, WPT Recycling et WPT Crushing. Grâce à des données de performance pertinentes, les nouvelles solutions – de même que le WPT Milling existant – offrent une vue d’ensemble en continu de l’avancement des travaux. Elles documentent également tous les travaux effectués par une machine – peuvent par exemple être consignés une surface fraisée, asphaltée et compactée ou un matériau retraité. Les solutions numériques aident les clients à maîtriser sans une surcharge de travail les obligations de rapport de plus en plus nombreuses tout en les délestant dans leur quotidien.</w:t>
      </w:r>
    </w:p>
    <w:p w14:paraId="0F3EA0E8" w14:textId="77777777" w:rsidR="00843B87" w:rsidRPr="00885E80" w:rsidRDefault="00843B87" w:rsidP="00843B87">
      <w:pPr>
        <w:pStyle w:val="Standardabsatz"/>
        <w:spacing w:after="0"/>
        <w:rPr>
          <w:b/>
          <w:bCs/>
          <w:lang w:val="en-US"/>
        </w:rPr>
      </w:pPr>
    </w:p>
    <w:p w14:paraId="2DF6FCD6" w14:textId="15739FC9" w:rsidR="008E04C9" w:rsidRPr="00885E80" w:rsidRDefault="008E04C9" w:rsidP="008E04C9">
      <w:pPr>
        <w:pStyle w:val="Standardabsatz"/>
        <w:spacing w:after="0"/>
        <w:rPr>
          <w:b/>
          <w:bCs/>
          <w:lang w:val="en-US"/>
        </w:rPr>
      </w:pPr>
      <w:bookmarkStart w:id="0" w:name="_Hlk189481447"/>
      <w:r>
        <w:rPr>
          <w:b/>
          <w:bCs/>
          <w:lang w:val="fr-FR"/>
        </w:rPr>
        <w:t xml:space="preserve">Solutions intelligentes pour les systèmes de production </w:t>
      </w:r>
      <w:bookmarkEnd w:id="0"/>
    </w:p>
    <w:p w14:paraId="46EBB407" w14:textId="76B6DCB9" w:rsidR="005A6196" w:rsidRPr="00885E80" w:rsidRDefault="00F44B05" w:rsidP="00F44B05">
      <w:pPr>
        <w:pStyle w:val="Standardabsatz"/>
        <w:rPr>
          <w:lang w:val="en-US"/>
        </w:rPr>
      </w:pPr>
      <w:r>
        <w:rPr>
          <w:lang w:val="fr-FR"/>
        </w:rPr>
        <w:t xml:space="preserve">La Technology Zone était entourée de systèmes de production qui ont constitué cette année l’élément central du stand. Ils se composent de la combinaison judicieuse de machines, de procédés d'application optimaux et des solutions numériques adaptées, c’est-à-dire tout ce dont un client a besoin pour la réalisation d’un projet de construction. Le Wirtgen Group a présenté à Munich huit exemples d’application concrets – dont un consacré au sujet de l’enrobé basse température, également connu sous le nom d'enrobé tiède ou de « warm mix ». Le public a ainsi pu voir notamment comment ce matériau est produit en préservant les ressources puis traité de manière sûre. </w:t>
      </w:r>
    </w:p>
    <w:p w14:paraId="2204FF0B" w14:textId="289A0E2C" w:rsidR="005A6196" w:rsidRPr="00885E80" w:rsidRDefault="00653BF6" w:rsidP="00F44B05">
      <w:pPr>
        <w:pStyle w:val="Standardabsatz"/>
        <w:rPr>
          <w:lang w:val="fr-FR"/>
        </w:rPr>
      </w:pPr>
      <w:r>
        <w:rPr>
          <w:lang w:val="fr-FR"/>
        </w:rPr>
        <w:t xml:space="preserve">Pour la réfection routière, un système de production utilisant les technologies Smart Automation du Wirtgen Group a été présenté pour la première. En fournissant des données en temps réel et en automatisant partiellement les processus, il permet aux clients de rénover les routes avec plus de précision, une plus haute qualité et à coûts moindres. D’autres systèmes de production comme le couplage en ligne </w:t>
      </w:r>
      <w:r>
        <w:rPr>
          <w:lang w:val="fr-FR"/>
        </w:rPr>
        <w:lastRenderedPageBreak/>
        <w:t>intelligent pour les processus de broyage dans le retraitement des matériaux, pour le recyclage à froid ou pour le terrassement, par exemple dans la stabilisation des sols, ont eux aussi attiré les foules.</w:t>
      </w:r>
    </w:p>
    <w:p w14:paraId="5402243C" w14:textId="77777777" w:rsidR="00B5145D" w:rsidRPr="00885E80" w:rsidRDefault="00B5145D" w:rsidP="006D6CC6">
      <w:pPr>
        <w:pStyle w:val="Absatzberschrift"/>
        <w:rPr>
          <w:bCs/>
          <w:lang w:val="fr-FR"/>
        </w:rPr>
      </w:pPr>
    </w:p>
    <w:p w14:paraId="6F696BAE" w14:textId="5463AEC6" w:rsidR="006D6CC6" w:rsidRPr="007026ED" w:rsidRDefault="000E3418" w:rsidP="006D6CC6">
      <w:pPr>
        <w:pStyle w:val="Absatzberschrift"/>
      </w:pPr>
      <w:r>
        <w:rPr>
          <w:bCs/>
          <w:lang w:val="fr-FR"/>
        </w:rPr>
        <w:t>Les opérateurs attirés par les nouveautés mondiales en acier et en fer</w:t>
      </w:r>
    </w:p>
    <w:p w14:paraId="3FFB675E" w14:textId="7CD3AE1A" w:rsidR="000E3418" w:rsidRPr="00885E80" w:rsidRDefault="000E3418" w:rsidP="005A7A3F">
      <w:pPr>
        <w:pStyle w:val="Standardabsatz"/>
        <w:rPr>
          <w:lang w:val="fr-FR"/>
        </w:rPr>
      </w:pPr>
      <w:r>
        <w:rPr>
          <w:lang w:val="fr-FR"/>
        </w:rPr>
        <w:t>Les machines exposées des marques spécialisées Wirtgen, Vögele, Hamm, Kleemann et Benninghoven/Ciber ainsi que de John Deere ont également attiré les visiteurs. La centaine de machines et d’installations ont fait battre un peu plus fort le cœur de beaucoup de visiteurs – en particulier de ceux qui seront amenés à utiliser eux-mêmes l’une des 4</w:t>
      </w:r>
      <w:r w:rsidR="00582020">
        <w:rPr>
          <w:lang w:val="fr-FR"/>
        </w:rPr>
        <w:t>5</w:t>
      </w:r>
      <w:r>
        <w:rPr>
          <w:lang w:val="fr-FR"/>
        </w:rPr>
        <w:t xml:space="preserve"> nouveautés mondiales et innovations. </w:t>
      </w:r>
    </w:p>
    <w:p w14:paraId="60199CB0" w14:textId="25A4F11C" w:rsidR="00B11185" w:rsidRDefault="00B11185">
      <w:pPr>
        <w:rPr>
          <w:rFonts w:eastAsiaTheme="minorHAnsi" w:cstheme="minorBidi"/>
          <w:b/>
          <w:bCs/>
          <w:sz w:val="22"/>
          <w:szCs w:val="24"/>
          <w:lang w:val="fr-FR"/>
        </w:rPr>
      </w:pPr>
    </w:p>
    <w:p w14:paraId="65E65CB6" w14:textId="77777777" w:rsidR="00CC4970" w:rsidRPr="00CC4970" w:rsidRDefault="00CC4970" w:rsidP="00CC4970">
      <w:pPr>
        <w:rPr>
          <w:rFonts w:eastAsiaTheme="minorHAnsi" w:cstheme="minorBidi"/>
          <w:sz w:val="22"/>
          <w:szCs w:val="24"/>
          <w:lang w:val="fr-FR"/>
        </w:rPr>
      </w:pPr>
      <w:r w:rsidRPr="00CC4970">
        <w:rPr>
          <w:rFonts w:eastAsiaTheme="minorHAnsi" w:cstheme="minorBidi"/>
          <w:sz w:val="22"/>
          <w:szCs w:val="24"/>
          <w:lang w:val="fr-FR"/>
        </w:rPr>
        <w:t>« Le Wirtgen Group et John Deere sont ravis des retours de nos clients, notamment concernant les solutions numériques dans le domaine de la Smart Automation. Leur confiance, qui se reflète également dans le succès des ventes réalisées lors du salon, nous a fait forte impression et nous encourage à continuer. Le salon Bauma a été la plateforme idéale pour présenter nos solutions complètes destinées aux systèmes de production de nos clients, dans l'esprit de notre devise « Smarter. Safer. More Sustainable. »</w:t>
      </w:r>
    </w:p>
    <w:p w14:paraId="1960C523" w14:textId="77777777" w:rsidR="00CC4970" w:rsidRPr="00BF5606" w:rsidRDefault="00CC4970" w:rsidP="00CC4970">
      <w:pPr>
        <w:rPr>
          <w:rFonts w:eastAsiaTheme="minorHAnsi" w:cstheme="minorBidi"/>
          <w:b/>
          <w:bCs/>
          <w:sz w:val="22"/>
          <w:szCs w:val="22"/>
          <w:lang w:val="en-US"/>
        </w:rPr>
      </w:pPr>
      <w:r w:rsidRPr="00BF5606">
        <w:rPr>
          <w:b/>
          <w:bCs/>
          <w:sz w:val="22"/>
          <w:szCs w:val="22"/>
        </w:rPr>
        <w:t>Dr. Volker Knickel, CEO Wirtgen Group</w:t>
      </w:r>
    </w:p>
    <w:p w14:paraId="392B852D" w14:textId="77777777" w:rsidR="00CC4970" w:rsidRDefault="00CC4970">
      <w:pPr>
        <w:rPr>
          <w:rFonts w:eastAsiaTheme="minorHAnsi" w:cstheme="minorBidi"/>
          <w:b/>
          <w:bCs/>
          <w:sz w:val="22"/>
          <w:szCs w:val="24"/>
          <w:lang w:val="fr-FR"/>
        </w:rPr>
      </w:pPr>
    </w:p>
    <w:p w14:paraId="0BF691B5" w14:textId="77777777" w:rsidR="001723AE" w:rsidRPr="00885E80" w:rsidRDefault="001723AE">
      <w:pPr>
        <w:rPr>
          <w:rFonts w:eastAsiaTheme="minorHAnsi" w:cstheme="minorBidi"/>
          <w:b/>
          <w:bCs/>
          <w:sz w:val="22"/>
          <w:szCs w:val="24"/>
          <w:lang w:val="fr-FR"/>
        </w:rPr>
      </w:pPr>
    </w:p>
    <w:p w14:paraId="31412CCB" w14:textId="73DF7F0A" w:rsidR="00E15EBE" w:rsidRPr="00885E80" w:rsidRDefault="00E15EBE" w:rsidP="00E15EBE">
      <w:pPr>
        <w:pStyle w:val="Fotos"/>
        <w:rPr>
          <w:bCs/>
          <w:lang w:val="fr-FR"/>
        </w:rPr>
      </w:pPr>
      <w:r>
        <w:rPr>
          <w:bCs/>
          <w:lang w:val="fr-FR"/>
        </w:rPr>
        <w:t xml:space="preserve">Images : </w:t>
      </w:r>
    </w:p>
    <w:p w14:paraId="3BA13DD9" w14:textId="77777777" w:rsidR="00A41BE6" w:rsidRPr="007026ED" w:rsidRDefault="00A41BE6" w:rsidP="00A41BE6">
      <w:pPr>
        <w:pStyle w:val="BUbold"/>
      </w:pPr>
      <w:bookmarkStart w:id="1" w:name="_Hlk195347221"/>
      <w:r>
        <w:rPr>
          <w:b w:val="0"/>
          <w:noProof/>
        </w:rPr>
        <w:drawing>
          <wp:inline distT="0" distB="0" distL="0" distR="0" wp14:anchorId="33CE7F0E" wp14:editId="13ED1D7F">
            <wp:extent cx="2942074" cy="1961383"/>
            <wp:effectExtent l="19050" t="19050" r="10795" b="20320"/>
            <wp:docPr id="2113129714" name="Grafik 211312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29714" name="Grafik 2113129714"/>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942074" cy="1961383"/>
                    </a:xfrm>
                    <a:prstGeom prst="rect">
                      <a:avLst/>
                    </a:prstGeom>
                    <a:noFill/>
                    <a:ln w="12700">
                      <a:solidFill>
                        <a:sysClr val="windowText" lastClr="000000">
                          <a:lumMod val="65000"/>
                          <a:lumOff val="35000"/>
                        </a:sysClr>
                      </a:solidFill>
                    </a:ln>
                  </pic:spPr>
                </pic:pic>
              </a:graphicData>
            </a:graphic>
          </wp:inline>
        </w:drawing>
      </w:r>
      <w:r>
        <w:rPr>
          <w:b w:val="0"/>
        </w:rPr>
        <w:t xml:space="preserve"> </w:t>
      </w:r>
      <w:r>
        <w:rPr>
          <w:b w:val="0"/>
        </w:rPr>
        <w:br/>
      </w:r>
      <w:r w:rsidRPr="00877E8D">
        <w:rPr>
          <w:bCs/>
        </w:rPr>
        <w:t>Wirtgen_bauma2025_12513</w:t>
      </w:r>
      <w:r>
        <w:rPr>
          <w:bCs/>
        </w:rPr>
        <w:t>.jpg</w:t>
      </w:r>
    </w:p>
    <w:bookmarkEnd w:id="1"/>
    <w:p w14:paraId="261A92CA" w14:textId="2CBF7012" w:rsidR="00CE0FF2" w:rsidRPr="00885E80" w:rsidRDefault="00392910" w:rsidP="00CE0FF2">
      <w:pPr>
        <w:pStyle w:val="BUnormal"/>
        <w:rPr>
          <w:lang w:val="fr-FR"/>
        </w:rPr>
      </w:pPr>
      <w:r>
        <w:rPr>
          <w:lang w:val="fr-FR"/>
        </w:rPr>
        <w:t xml:space="preserve">À la Bauma 2025, le Wirtgen Group a présenté 45 nouveautés mondiales et innovations, confirmant sa position de partenaire fiable pour ses clients. </w:t>
      </w:r>
    </w:p>
    <w:p w14:paraId="17BF6B81" w14:textId="40F3D039" w:rsidR="00267DFA" w:rsidRPr="007026ED" w:rsidRDefault="00267DFA" w:rsidP="00267DFA">
      <w:pPr>
        <w:pStyle w:val="BUbold"/>
        <w:tabs>
          <w:tab w:val="left" w:pos="4820"/>
        </w:tabs>
      </w:pPr>
      <w:bookmarkStart w:id="2" w:name="_Hlk195347077"/>
      <w:r>
        <w:rPr>
          <w:b w:val="0"/>
          <w:noProof/>
        </w:rPr>
        <w:lastRenderedPageBreak/>
        <w:drawing>
          <wp:inline distT="0" distB="0" distL="0" distR="0" wp14:anchorId="258C03F7" wp14:editId="0780D4E1">
            <wp:extent cx="2885704" cy="1923701"/>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screen">
                      <a:extLst>
                        <a:ext uri="{28A0092B-C50C-407E-A947-70E740481C1C}">
                          <a14:useLocalDpi xmlns:a14="http://schemas.microsoft.com/office/drawing/2010/main"/>
                        </a:ext>
                      </a:extLst>
                    </a:blip>
                    <a:stretch>
                      <a:fillRect/>
                    </a:stretch>
                  </pic:blipFill>
                  <pic:spPr>
                    <a:xfrm>
                      <a:off x="0" y="0"/>
                      <a:ext cx="2889030" cy="1925918"/>
                    </a:xfrm>
                    <a:prstGeom prst="rect">
                      <a:avLst/>
                    </a:prstGeom>
                  </pic:spPr>
                </pic:pic>
              </a:graphicData>
            </a:graphic>
          </wp:inline>
        </w:drawing>
      </w:r>
      <w:r>
        <w:rPr>
          <w:b w:val="0"/>
        </w:rPr>
        <w:t xml:space="preserve">  </w:t>
      </w:r>
      <w:r>
        <w:rPr>
          <w:b w:val="0"/>
        </w:rPr>
        <w:br/>
      </w:r>
      <w:r w:rsidRPr="00074315">
        <w:rPr>
          <w:bCs/>
        </w:rPr>
        <w:t>Wirtgen_bauma2025_04159</w:t>
      </w:r>
      <w:r w:rsidR="00A41BE6">
        <w:rPr>
          <w:bCs/>
        </w:rPr>
        <w:t>.jpg</w:t>
      </w:r>
    </w:p>
    <w:bookmarkEnd w:id="2"/>
    <w:p w14:paraId="3774B243" w14:textId="4054B38A" w:rsidR="00B11185" w:rsidRPr="00885E80" w:rsidRDefault="00504060" w:rsidP="00504060">
      <w:pPr>
        <w:pStyle w:val="BUnormal"/>
        <w:rPr>
          <w:lang w:val="fr-FR"/>
        </w:rPr>
      </w:pPr>
      <w:r>
        <w:rPr>
          <w:lang w:val="fr-FR"/>
        </w:rPr>
        <w:t xml:space="preserve">Nouveautés mondiales : Wirtgen présente pour la première fois sa grande fraiseuse puissante W 250 XF et la génération complète de nouveaux recycleurs à froid et stabilisatrices de sols mobiles sur roues. </w:t>
      </w:r>
    </w:p>
    <w:p w14:paraId="3DAB38C9" w14:textId="46A58650" w:rsidR="00267DFA" w:rsidRDefault="00267DFA" w:rsidP="00267DFA">
      <w:pPr>
        <w:pStyle w:val="BUbold"/>
        <w:tabs>
          <w:tab w:val="left" w:pos="4820"/>
        </w:tabs>
        <w:rPr>
          <w:bCs/>
        </w:rPr>
      </w:pPr>
      <w:bookmarkStart w:id="3" w:name="_Hlk195347093"/>
      <w:r>
        <w:rPr>
          <w:b w:val="0"/>
          <w:noProof/>
        </w:rPr>
        <w:drawing>
          <wp:inline distT="0" distB="0" distL="0" distR="0" wp14:anchorId="6CAE447E" wp14:editId="74868EEE">
            <wp:extent cx="2885440" cy="1923525"/>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891819" cy="1927777"/>
                    </a:xfrm>
                    <a:prstGeom prst="rect">
                      <a:avLst/>
                    </a:prstGeom>
                  </pic:spPr>
                </pic:pic>
              </a:graphicData>
            </a:graphic>
          </wp:inline>
        </w:drawing>
      </w:r>
      <w:r>
        <w:rPr>
          <w:bCs/>
        </w:rPr>
        <w:t xml:space="preserve">  </w:t>
      </w:r>
      <w:r>
        <w:rPr>
          <w:b w:val="0"/>
        </w:rPr>
        <w:br/>
      </w:r>
      <w:r w:rsidRPr="00074315">
        <w:rPr>
          <w:bCs/>
        </w:rPr>
        <w:t>Wirtgen_bauma2025_08248</w:t>
      </w:r>
      <w:r w:rsidR="00A41BE6">
        <w:rPr>
          <w:bCs/>
        </w:rPr>
        <w:t>.jpg</w:t>
      </w:r>
    </w:p>
    <w:bookmarkEnd w:id="3"/>
    <w:p w14:paraId="124DF866" w14:textId="68E6FA63" w:rsidR="00504060" w:rsidRPr="00885E80" w:rsidRDefault="00504060" w:rsidP="00504060">
      <w:pPr>
        <w:pStyle w:val="BUnormal"/>
        <w:rPr>
          <w:lang w:val="en-US"/>
        </w:rPr>
      </w:pPr>
      <w:r>
        <w:rPr>
          <w:lang w:val="fr-FR"/>
        </w:rPr>
        <w:t>Nouveautés mondiales : Vögele a élargi sa génération Tiret 5 dans toutes les catégories de puissance, avec par exemple le premier finisseur sur pneus SUPER 1803-5 X-Tier ou l’alimentateur MT 3000-5.</w:t>
      </w:r>
    </w:p>
    <w:p w14:paraId="06D92685" w14:textId="77777777" w:rsidR="00267DFA" w:rsidRDefault="00267DFA" w:rsidP="00267DFA">
      <w:pPr>
        <w:pStyle w:val="BUbold"/>
        <w:tabs>
          <w:tab w:val="left" w:pos="4820"/>
        </w:tabs>
        <w:rPr>
          <w:bCs/>
        </w:rPr>
      </w:pPr>
      <w:bookmarkStart w:id="4" w:name="_Hlk195347111"/>
      <w:r>
        <w:rPr>
          <w:b w:val="0"/>
          <w:noProof/>
        </w:rPr>
        <w:drawing>
          <wp:inline distT="0" distB="0" distL="0" distR="0" wp14:anchorId="56C6AF74" wp14:editId="1F45EC81">
            <wp:extent cx="2883751" cy="1922400"/>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1"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53A75DCF" w14:textId="304D2BAC" w:rsidR="00267DFA" w:rsidRDefault="00267DFA" w:rsidP="00267DFA">
      <w:pPr>
        <w:pStyle w:val="BUbold"/>
        <w:tabs>
          <w:tab w:val="left" w:pos="4820"/>
        </w:tabs>
        <w:rPr>
          <w:bCs/>
        </w:rPr>
      </w:pPr>
      <w:r w:rsidRPr="00074315">
        <w:rPr>
          <w:bCs/>
        </w:rPr>
        <w:t>Wirtgen_bauma2025_03661</w:t>
      </w:r>
      <w:r w:rsidR="00A41BE6">
        <w:rPr>
          <w:bCs/>
        </w:rPr>
        <w:t>.jpg</w:t>
      </w:r>
    </w:p>
    <w:bookmarkEnd w:id="4"/>
    <w:p w14:paraId="4069B8C8" w14:textId="6F508F1D" w:rsidR="00504060" w:rsidRPr="00885E80" w:rsidRDefault="00504060" w:rsidP="00504060">
      <w:pPr>
        <w:pStyle w:val="BUnormal"/>
        <w:rPr>
          <w:lang w:val="en-US"/>
        </w:rPr>
      </w:pPr>
      <w:r>
        <w:rPr>
          <w:lang w:val="fr-FR"/>
        </w:rPr>
        <w:t xml:space="preserve">Nouveautés mondiales : Hamm a montré des solutions pour le compactage automatique, notamment les rouleaux tandem HD 10-HD 12 G-Tier, HD 90-HD 110 P-Tier ou le compacteur HC 130i C VA. </w:t>
      </w:r>
    </w:p>
    <w:p w14:paraId="35F6F813" w14:textId="77777777" w:rsidR="00A41BE6" w:rsidRDefault="00A41BE6" w:rsidP="00A41BE6">
      <w:pPr>
        <w:pStyle w:val="BUbold"/>
        <w:tabs>
          <w:tab w:val="left" w:pos="4820"/>
        </w:tabs>
        <w:rPr>
          <w:bCs/>
        </w:rPr>
      </w:pPr>
      <w:bookmarkStart w:id="5" w:name="_Hlk195452261"/>
      <w:bookmarkStart w:id="6" w:name="_Hlk195347127"/>
      <w:r>
        <w:rPr>
          <w:bCs/>
          <w:noProof/>
        </w:rPr>
        <w:lastRenderedPageBreak/>
        <w:drawing>
          <wp:inline distT="0" distB="0" distL="0" distR="0" wp14:anchorId="5E97BA55" wp14:editId="7DD42904">
            <wp:extent cx="2883600" cy="1922400"/>
            <wp:effectExtent l="0" t="0" r="0" b="190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2"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Cs/>
        </w:rPr>
        <w:t xml:space="preserve">  </w:t>
      </w:r>
      <w:r>
        <w:rPr>
          <w:bCs/>
        </w:rPr>
        <w:br/>
      </w:r>
      <w:bookmarkEnd w:id="5"/>
      <w:r w:rsidRPr="00676000">
        <w:rPr>
          <w:bCs/>
        </w:rPr>
        <w:t>Wirtgen_bauma2025_04274</w:t>
      </w:r>
      <w:r>
        <w:rPr>
          <w:bCs/>
        </w:rPr>
        <w:t>.jpg</w:t>
      </w:r>
    </w:p>
    <w:bookmarkEnd w:id="6"/>
    <w:p w14:paraId="2BC93CBA" w14:textId="7D0BFF48" w:rsidR="00504060" w:rsidRPr="00885E80" w:rsidRDefault="00A01B65" w:rsidP="00504060">
      <w:pPr>
        <w:pStyle w:val="BUnormal"/>
        <w:rPr>
          <w:lang w:val="en-US"/>
        </w:rPr>
      </w:pPr>
      <w:r>
        <w:rPr>
          <w:lang w:val="fr-FR"/>
        </w:rPr>
        <w:t xml:space="preserve">Dans le domaine du retraitement des matériaux, Kleemann proposera à l’avenir la MSS 1102 PRO la première installation de criblage de la gamme PRO. L’installation sera principalement mise en œuvre dans la roche naturelle. </w:t>
      </w:r>
    </w:p>
    <w:p w14:paraId="7146CDBF" w14:textId="2BBAC2B2" w:rsidR="00267DFA" w:rsidRDefault="00267DFA" w:rsidP="00267DFA">
      <w:pPr>
        <w:pStyle w:val="BUbold"/>
        <w:rPr>
          <w:bCs/>
        </w:rPr>
      </w:pPr>
      <w:bookmarkStart w:id="7" w:name="_Hlk195347136"/>
      <w:r>
        <w:rPr>
          <w:b w:val="0"/>
          <w:noProof/>
        </w:rPr>
        <w:drawing>
          <wp:inline distT="0" distB="0" distL="0" distR="0" wp14:anchorId="444FFAFE" wp14:editId="4B5CBD9C">
            <wp:extent cx="2883600" cy="1922400"/>
            <wp:effectExtent l="0" t="0" r="0"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3"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 w:val="0"/>
        </w:rPr>
        <w:t xml:space="preserve">  </w:t>
      </w:r>
      <w:r>
        <w:rPr>
          <w:b w:val="0"/>
          <w:noProof/>
        </w:rPr>
        <w:drawing>
          <wp:inline distT="0" distB="0" distL="0" distR="0" wp14:anchorId="3FE2F39F" wp14:editId="00A8EE76">
            <wp:extent cx="2883751" cy="1922400"/>
            <wp:effectExtent l="0" t="0" r="0" b="190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4"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 w:val="0"/>
        </w:rPr>
        <w:br/>
      </w:r>
      <w:r w:rsidRPr="00A42933">
        <w:rPr>
          <w:bCs/>
        </w:rPr>
        <w:t>Wirtgen_bauma2025_</w:t>
      </w:r>
      <w:r>
        <w:rPr>
          <w:bCs/>
        </w:rPr>
        <w:t>04025</w:t>
      </w:r>
      <w:r w:rsidR="00A41BE6">
        <w:rPr>
          <w:bCs/>
        </w:rPr>
        <w:t>.jpg</w:t>
      </w:r>
      <w:r>
        <w:rPr>
          <w:bCs/>
        </w:rPr>
        <w:tab/>
      </w:r>
      <w:r>
        <w:rPr>
          <w:bCs/>
        </w:rPr>
        <w:tab/>
      </w:r>
      <w:r w:rsidRPr="00A42933">
        <w:rPr>
          <w:bCs/>
        </w:rPr>
        <w:t>Wirtgen_bauma2025_09114</w:t>
      </w:r>
      <w:r w:rsidR="00A41BE6">
        <w:rPr>
          <w:bCs/>
        </w:rPr>
        <w:t>.jpg</w:t>
      </w:r>
    </w:p>
    <w:bookmarkEnd w:id="7"/>
    <w:p w14:paraId="320EDCC9" w14:textId="01FA8E0C" w:rsidR="00680D6E" w:rsidRPr="00885E80" w:rsidRDefault="00680D6E" w:rsidP="00E95972">
      <w:pPr>
        <w:pStyle w:val="BUnormal"/>
        <w:rPr>
          <w:lang w:val="en-US"/>
        </w:rPr>
      </w:pPr>
      <w:r>
        <w:rPr>
          <w:lang w:val="fr-FR"/>
        </w:rPr>
        <w:t>Benninghoven a présenté des solutions pour les enrobés basse température, le dépoussiérage, l’utilisation d’hydrogène en tant que combustible et pour le retraitement de l’enrobé. Avec les technologies de Ciber pour la production d’enrobé en continu, le Wirtgen Group offre un éventail complet de solutions rentables dans la production d’enrobé.</w:t>
      </w:r>
    </w:p>
    <w:p w14:paraId="6CED14EC" w14:textId="77777777" w:rsidR="00267DFA" w:rsidRDefault="00267DFA" w:rsidP="00267DFA">
      <w:pPr>
        <w:pStyle w:val="BUbold"/>
        <w:tabs>
          <w:tab w:val="left" w:pos="4962"/>
        </w:tabs>
        <w:rPr>
          <w:bCs/>
        </w:rPr>
      </w:pPr>
      <w:bookmarkStart w:id="8" w:name="_Hlk195347147"/>
      <w:r>
        <w:rPr>
          <w:b w:val="0"/>
          <w:noProof/>
        </w:rPr>
        <w:drawing>
          <wp:inline distT="0" distB="0" distL="0" distR="0" wp14:anchorId="22797185" wp14:editId="2804D1C9">
            <wp:extent cx="2883751" cy="1922400"/>
            <wp:effectExtent l="0" t="0" r="0" b="190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5"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5E489B44" w14:textId="09D23C4C" w:rsidR="00267DFA" w:rsidRDefault="00267DFA" w:rsidP="00267DFA">
      <w:pPr>
        <w:pStyle w:val="BUbold"/>
        <w:tabs>
          <w:tab w:val="left" w:pos="4962"/>
        </w:tabs>
        <w:rPr>
          <w:bCs/>
        </w:rPr>
      </w:pPr>
      <w:r w:rsidRPr="00A42933">
        <w:rPr>
          <w:bCs/>
        </w:rPr>
        <w:t>Wirtgen_bauma2025_</w:t>
      </w:r>
      <w:r>
        <w:rPr>
          <w:bCs/>
        </w:rPr>
        <w:t>03066</w:t>
      </w:r>
      <w:r w:rsidR="00A41BE6">
        <w:rPr>
          <w:bCs/>
        </w:rPr>
        <w:t>.jpg</w:t>
      </w:r>
    </w:p>
    <w:bookmarkEnd w:id="8"/>
    <w:p w14:paraId="58133667" w14:textId="1754BF6D" w:rsidR="00504060" w:rsidRPr="00885E80" w:rsidRDefault="008D5CB3" w:rsidP="00504060">
      <w:pPr>
        <w:pStyle w:val="BUnormal"/>
        <w:rPr>
          <w:lang w:val="en-US"/>
        </w:rPr>
      </w:pPr>
      <w:r>
        <w:rPr>
          <w:lang w:val="fr-FR"/>
        </w:rPr>
        <w:t xml:space="preserve">John Deere a parachevé l’exposition de machines avec un échantillon représentatif de produits pour le secteur de la construction, notamment des chargeurs chenillés, des Motor Grader, des chargeurs sur roues et des niveleuses. </w:t>
      </w:r>
    </w:p>
    <w:p w14:paraId="74A0F39D" w14:textId="77777777" w:rsidR="00504060" w:rsidRPr="00885E80" w:rsidRDefault="00504060" w:rsidP="00504060">
      <w:pPr>
        <w:pStyle w:val="Note"/>
        <w:rPr>
          <w:lang w:val="en-US"/>
        </w:rPr>
      </w:pPr>
    </w:p>
    <w:p w14:paraId="59641828" w14:textId="6BB63C73" w:rsidR="00A5608A" w:rsidRPr="00885E80" w:rsidRDefault="00E15EBE" w:rsidP="006B59B5">
      <w:pPr>
        <w:pStyle w:val="Note"/>
        <w:rPr>
          <w:lang w:val="en-US"/>
        </w:rPr>
      </w:pPr>
      <w:r>
        <w:rPr>
          <w:iCs/>
          <w:lang w:val="fr-FR"/>
        </w:rPr>
        <w:lastRenderedPageBreak/>
        <w:t>Attention</w:t>
      </w:r>
      <w:r>
        <w:rPr>
          <w:i w:val="0"/>
          <w:lang w:val="fr-FR"/>
        </w:rPr>
        <w:t> </w:t>
      </w:r>
      <w:r>
        <w:rPr>
          <w:iCs/>
          <w:lang w:val="fr-FR"/>
        </w:rPr>
        <w:t>: Ces photos sont destinées uniquement à une première visualisation. Pour une reproduction dans vos publications, merci d’utiliser les photos en résolution de 300 dpi, que vous pourrez télécharger sur le site web du Wirtgen Group.</w:t>
      </w:r>
    </w:p>
    <w:p w14:paraId="36B89EF8" w14:textId="77777777" w:rsidR="00F16465" w:rsidRPr="00885E80" w:rsidRDefault="00F16465" w:rsidP="00E15EBE">
      <w:pPr>
        <w:pStyle w:val="Absatzberschrift"/>
        <w:rPr>
          <w:iCs/>
          <w:lang w:val="en-US"/>
        </w:rPr>
      </w:pPr>
    </w:p>
    <w:p w14:paraId="48B7DFBF" w14:textId="77777777" w:rsidR="00CB24EA" w:rsidRPr="00885E80" w:rsidRDefault="00CB24EA" w:rsidP="00CB24EA">
      <w:pPr>
        <w:pStyle w:val="Standardabsatz"/>
        <w:rPr>
          <w:lang w:val="en-US"/>
        </w:rPr>
      </w:pPr>
    </w:p>
    <w:p w14:paraId="55931FB8" w14:textId="15751AA1" w:rsidR="00E15EBE" w:rsidRPr="007026ED" w:rsidRDefault="00E15EBE" w:rsidP="00E15EBE">
      <w:pPr>
        <w:pStyle w:val="Absatzberschrift"/>
        <w:rPr>
          <w:iCs/>
        </w:rPr>
      </w:pPr>
      <w:r>
        <w:rPr>
          <w:bCs/>
          <w:lang w:val="fr-FR"/>
        </w:rPr>
        <w:t>V</w:t>
      </w:r>
      <w:r w:rsidR="001723AE">
        <w:rPr>
          <w:bCs/>
          <w:lang w:val="fr-FR"/>
        </w:rPr>
        <w:t>ous</w:t>
      </w:r>
      <w:r>
        <w:rPr>
          <w:bCs/>
          <w:lang w:val="fr-FR"/>
        </w:rPr>
        <w:t xml:space="preserve"> </w:t>
      </w:r>
      <w:r w:rsidR="001723AE">
        <w:rPr>
          <w:bCs/>
          <w:lang w:val="fr-FR"/>
        </w:rPr>
        <w:t>obtiendrez de plus amples informations auprès de</w:t>
      </w:r>
      <w:r>
        <w:rPr>
          <w:bCs/>
          <w:lang w:val="fr-FR"/>
        </w:rPr>
        <w:t> :</w:t>
      </w:r>
    </w:p>
    <w:p w14:paraId="0834BAC7" w14:textId="77777777" w:rsidR="00E15EBE" w:rsidRPr="007026ED"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Service de presse</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67C836A1" w:rsidR="00E15EBE" w:rsidRPr="001A0325" w:rsidRDefault="00E15EBE" w:rsidP="001723AE">
      <w:pPr>
        <w:pStyle w:val="Fuzeile1"/>
        <w:tabs>
          <w:tab w:val="left" w:pos="1843"/>
        </w:tabs>
        <w:rPr>
          <w:rFonts w:ascii="Times New Roman" w:hAnsi="Times New Roman" w:cs="Times New Roman"/>
        </w:rPr>
      </w:pPr>
      <w:r>
        <w:rPr>
          <w:bCs w:val="0"/>
          <w:iCs w:val="0"/>
          <w:lang w:val="fr-FR"/>
        </w:rPr>
        <w:t xml:space="preserve">Téléphone : </w:t>
      </w:r>
      <w:r w:rsidR="001723AE">
        <w:rPr>
          <w:bCs w:val="0"/>
          <w:iCs w:val="0"/>
          <w:lang w:val="fr-FR"/>
        </w:rPr>
        <w:tab/>
      </w:r>
      <w:r>
        <w:rPr>
          <w:bCs w:val="0"/>
          <w:iCs w:val="0"/>
          <w:lang w:val="fr-FR"/>
        </w:rPr>
        <w:t xml:space="preserve">+49 (0) 2645 131 – 1966 </w:t>
      </w:r>
    </w:p>
    <w:p w14:paraId="65F4C38F" w14:textId="61CA9FF1" w:rsidR="00E15EBE" w:rsidRDefault="00E15EBE" w:rsidP="001723AE">
      <w:pPr>
        <w:pStyle w:val="Fuzeile1"/>
        <w:tabs>
          <w:tab w:val="left" w:pos="1843"/>
        </w:tabs>
      </w:pPr>
      <w:r>
        <w:rPr>
          <w:bCs w:val="0"/>
          <w:iCs w:val="0"/>
          <w:lang w:val="fr-FR"/>
        </w:rPr>
        <w:t xml:space="preserve">Fax : </w:t>
      </w:r>
      <w:r>
        <w:rPr>
          <w:bCs w:val="0"/>
          <w:iCs w:val="0"/>
          <w:lang w:val="fr-FR"/>
        </w:rPr>
        <w:tab/>
        <w:t>+49 (0) 2645 131 – 499</w:t>
      </w:r>
    </w:p>
    <w:p w14:paraId="79FF3B7C" w14:textId="2A30DA52" w:rsidR="00E15EBE" w:rsidRDefault="00E15EBE" w:rsidP="001723AE">
      <w:pPr>
        <w:pStyle w:val="Fuzeile1"/>
        <w:tabs>
          <w:tab w:val="left" w:pos="1843"/>
        </w:tabs>
      </w:pPr>
      <w:r>
        <w:rPr>
          <w:bCs w:val="0"/>
          <w:iCs w:val="0"/>
          <w:lang w:val="fr-FR"/>
        </w:rPr>
        <w:t xml:space="preserve">E-mail : </w:t>
      </w:r>
      <w:r w:rsidR="001723AE">
        <w:rPr>
          <w:bCs w:val="0"/>
          <w:iCs w:val="0"/>
          <w:lang w:val="fr-FR"/>
        </w:rPr>
        <w:tab/>
      </w:r>
      <w:r>
        <w:rPr>
          <w:bCs w:val="0"/>
          <w:iCs w:val="0"/>
          <w:lang w:val="fr-FR"/>
        </w:rPr>
        <w:t>PR@wirtgen-group.com</w:t>
      </w:r>
    </w:p>
    <w:p w14:paraId="3D604A55" w14:textId="52B76578" w:rsidR="00F048D4" w:rsidRDefault="00D34AF5" w:rsidP="00F74540">
      <w:pPr>
        <w:pStyle w:val="Fuzeile1"/>
      </w:pPr>
      <w:r>
        <w:rPr>
          <w:bCs w:val="0"/>
          <w:iCs w:val="0"/>
          <w:lang w:val="fr-FR"/>
        </w:rPr>
        <w:t>www.wirtgen-group.com</w:t>
      </w:r>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6"/>
      <w:headerReference w:type="default" r:id="rId17"/>
      <w:footerReference w:type="even"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9410D" w14:textId="77777777" w:rsidR="003D55F0" w:rsidRDefault="003D55F0" w:rsidP="00E55534">
      <w:r>
        <w:separator/>
      </w:r>
    </w:p>
  </w:endnote>
  <w:endnote w:type="continuationSeparator" w:id="0">
    <w:p w14:paraId="161DB451" w14:textId="77777777" w:rsidR="003D55F0" w:rsidRDefault="003D55F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pPr>
    <w:r>
      <w:rPr>
        <w:noProof/>
        <w:lang w:val="fr-FR"/>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xmlns:oel="http://schemas.microsoft.com/office/2019/extlst">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lang w:val="fr-FR"/>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anchorx="page" anchory="page"/>
                  </v:shape>
                </w:pict>
              </mc:Fallback>
            </mc:AlternateContent>
          </w: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53578 Windhagen · Allemagne · T : +49-2645-131-0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xmlns:oel="http://schemas.microsoft.com/office/2019/extlst">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D63A7" w14:textId="77777777" w:rsidR="003D55F0" w:rsidRDefault="003D55F0" w:rsidP="00E55534">
      <w:r>
        <w:separator/>
      </w:r>
    </w:p>
  </w:footnote>
  <w:footnote w:type="continuationSeparator" w:id="0">
    <w:p w14:paraId="04CCFAFC" w14:textId="77777777" w:rsidR="003D55F0" w:rsidRDefault="003D55F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8AC84C0" w:rsidR="005101B4" w:rsidRDefault="003E6832">
    <w:pPr>
      <w:pStyle w:val="Kopfzeile"/>
    </w:pPr>
    <w:r>
      <w:rPr>
        <w:noProof/>
        <w:lang w:val="fr-FR"/>
      </w:rPr>
      <mc:AlternateContent>
        <mc:Choice Requires="wps">
          <w:drawing>
            <wp:anchor distT="0" distB="0" distL="0" distR="0" simplePos="0" relativeHeight="251667456" behindDoc="0" locked="0" layoutInCell="1" allowOverlap="1" wp14:anchorId="3D6DA379" wp14:editId="16036232">
              <wp:simplePos x="635" y="635"/>
              <wp:positionH relativeFrom="page">
                <wp:align>right</wp:align>
              </wp:positionH>
              <wp:positionV relativeFrom="page">
                <wp:align>top</wp:align>
              </wp:positionV>
              <wp:extent cx="565150" cy="345440"/>
              <wp:effectExtent l="0" t="0" r="0" b="16510"/>
              <wp:wrapNone/>
              <wp:docPr id="208984442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D6DA379"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QjULM4AgAAVwQAAA4AAAAAAAAAAAAA&#10;AAAALgIAAGRycy9lMm9Eb2MueG1sUEsBAi0AFAAGAAgAAAAhAPabUyvcAAAAAwEAAA8AAAAAAAAA&#10;AAAAAAAAkgQAAGRycy9kb3ducmV2LnhtbFBLBQYAAAAABAAEAPMAAACbBQAAAAA=&#10;" filled="f" stroked="f">
              <v:textbox style="mso-fit-shape-to-text:t" inset="0,15pt,20pt,0">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986446F" w:rsidR="00533132" w:rsidRPr="00533132" w:rsidRDefault="003E6832" w:rsidP="00533132">
    <w:pPr>
      <w:pStyle w:val="Kopfzeile"/>
    </w:pPr>
    <w:r>
      <w:rPr>
        <w:noProof/>
        <w:lang w:val="fr-FR"/>
      </w:rPr>
      <mc:AlternateContent>
        <mc:Choice Requires="wps">
          <w:drawing>
            <wp:anchor distT="0" distB="0" distL="0" distR="0" simplePos="0" relativeHeight="251668480" behindDoc="0" locked="0" layoutInCell="1" allowOverlap="1" wp14:anchorId="0EFC45BF" wp14:editId="1983A943">
              <wp:simplePos x="755374" y="453224"/>
              <wp:positionH relativeFrom="page">
                <wp:align>right</wp:align>
              </wp:positionH>
              <wp:positionV relativeFrom="page">
                <wp:align>top</wp:align>
              </wp:positionV>
              <wp:extent cx="565150" cy="345440"/>
              <wp:effectExtent l="0" t="0" r="0" b="16510"/>
              <wp:wrapNone/>
              <wp:docPr id="143726590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FC45B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Tw/zqDoCAABeBAAADgAAAAAAAAAA&#10;AAAAAAAuAgAAZHJzL2Uyb0RvYy54bWxQSwECLQAUAAYACAAAACEA9ptTK9wAAAADAQAADwAAAAAA&#10;AAAAAAAAAACUBAAAZHJzL2Rvd25yZXYueG1sUEsFBgAAAAAEAAQA8wAAAJ0FAAAAAA==&#10;" filled="f" stroked="f">
              <v:textbox style="mso-fit-shape-to-text:t" inset="0,15pt,20pt,0">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67F799" w:rsidR="00533132" w:rsidRDefault="003E6832">
    <w:pPr>
      <w:pStyle w:val="Kopfzeile"/>
    </w:pPr>
    <w:r>
      <w:rPr>
        <w:noProof/>
        <w:lang w:val="fr-FR"/>
      </w:rPr>
      <mc:AlternateContent>
        <mc:Choice Requires="wps">
          <w:drawing>
            <wp:anchor distT="0" distB="0" distL="0" distR="0" simplePos="0" relativeHeight="251666432" behindDoc="0" locked="0" layoutInCell="1" allowOverlap="1" wp14:anchorId="5D9257DC" wp14:editId="440E7561">
              <wp:simplePos x="635" y="635"/>
              <wp:positionH relativeFrom="page">
                <wp:align>right</wp:align>
              </wp:positionH>
              <wp:positionV relativeFrom="page">
                <wp:align>top</wp:align>
              </wp:positionV>
              <wp:extent cx="565150" cy="345440"/>
              <wp:effectExtent l="0" t="0" r="0" b="16510"/>
              <wp:wrapNone/>
              <wp:docPr id="172986338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9257DC"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mJUGvDoCAABeBAAADgAAAAAAAAAA&#10;AAAAAAAuAgAAZHJzL2Uyb0RvYy54bWxQSwECLQAUAAYACAAAACEA9ptTK9wAAAADAQAADwAAAAAA&#10;AAAAAAAAAACUBAAAZHJzL2Rvd25yZXYueG1sUEsFBgAAAAAEAAQA8wAAAJ0FAAAAAA==&#10;" filled="f" stroked="f">
              <v:textbox style="mso-fit-shape-to-text:t" inset="0,15pt,20pt,0">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14="http://schemas.microsoft.com/office/drawing/2010/main" xmlns:pic="http://schemas.openxmlformats.org/drawingml/2006/picture" xmlns:aclsh="http://schemas.microsoft.com/office/drawing/2020/classificationShape" xmlns:a="http://schemas.openxmlformats.org/drawingml/2006/main" xmlns:w16du="http://schemas.microsoft.com/office/word/2023/wordml/word16du" xmlns:oel="http://schemas.microsoft.com/office/2019/extlst">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22"/>
  </w:num>
  <w:num w:numId="2">
    <w:abstractNumId w:val="22"/>
  </w:num>
  <w:num w:numId="3">
    <w:abstractNumId w:val="22"/>
  </w:num>
  <w:num w:numId="4">
    <w:abstractNumId w:val="22"/>
  </w:num>
  <w:num w:numId="5">
    <w:abstractNumId w:val="22"/>
  </w:num>
  <w:num w:numId="6">
    <w:abstractNumId w:val="3"/>
  </w:num>
  <w:num w:numId="7">
    <w:abstractNumId w:val="3"/>
  </w:num>
  <w:num w:numId="8">
    <w:abstractNumId w:val="3"/>
  </w:num>
  <w:num w:numId="9">
    <w:abstractNumId w:val="3"/>
  </w:num>
  <w:num w:numId="10">
    <w:abstractNumId w:val="3"/>
  </w:num>
  <w:num w:numId="11">
    <w:abstractNumId w:val="11"/>
  </w:num>
  <w:num w:numId="12">
    <w:abstractNumId w:val="11"/>
  </w:num>
  <w:num w:numId="13">
    <w:abstractNumId w:val="9"/>
  </w:num>
  <w:num w:numId="14">
    <w:abstractNumId w:val="9"/>
  </w:num>
  <w:num w:numId="15">
    <w:abstractNumId w:val="9"/>
  </w:num>
  <w:num w:numId="16">
    <w:abstractNumId w:val="9"/>
  </w:num>
  <w:num w:numId="17">
    <w:abstractNumId w:val="9"/>
  </w:num>
  <w:num w:numId="18">
    <w:abstractNumId w:val="2"/>
  </w:num>
  <w:num w:numId="19">
    <w:abstractNumId w:val="5"/>
  </w:num>
  <w:num w:numId="20">
    <w:abstractNumId w:val="1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12"/>
  </w:num>
  <w:num w:numId="29">
    <w:abstractNumId w:val="13"/>
  </w:num>
  <w:num w:numId="30">
    <w:abstractNumId w:val="6"/>
  </w:num>
  <w:num w:numId="31">
    <w:abstractNumId w:val="21"/>
  </w:num>
  <w:num w:numId="32">
    <w:abstractNumId w:val="16"/>
  </w:num>
  <w:num w:numId="33">
    <w:abstractNumId w:val="4"/>
  </w:num>
  <w:num w:numId="34">
    <w:abstractNumId w:val="20"/>
  </w:num>
  <w:num w:numId="35">
    <w:abstractNumId w:val="10"/>
  </w:num>
  <w:num w:numId="36">
    <w:abstractNumId w:val="14"/>
  </w:num>
  <w:num w:numId="37">
    <w:abstractNumId w:val="17"/>
  </w:num>
  <w:num w:numId="38">
    <w:abstractNumId w:val="7"/>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BC"/>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2BC"/>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D34D7"/>
    <w:rsid w:val="000D382D"/>
    <w:rsid w:val="000D7B73"/>
    <w:rsid w:val="000E24F8"/>
    <w:rsid w:val="000E3418"/>
    <w:rsid w:val="000E5738"/>
    <w:rsid w:val="000F1737"/>
    <w:rsid w:val="00103073"/>
    <w:rsid w:val="00103205"/>
    <w:rsid w:val="00111D7B"/>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23AE"/>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06200"/>
    <w:rsid w:val="0021351D"/>
    <w:rsid w:val="002309FC"/>
    <w:rsid w:val="0024183E"/>
    <w:rsid w:val="00245D64"/>
    <w:rsid w:val="00253A2E"/>
    <w:rsid w:val="00253F7D"/>
    <w:rsid w:val="0025471E"/>
    <w:rsid w:val="00254E4C"/>
    <w:rsid w:val="00256ACD"/>
    <w:rsid w:val="002603EC"/>
    <w:rsid w:val="002611FE"/>
    <w:rsid w:val="00267DFA"/>
    <w:rsid w:val="00282AFC"/>
    <w:rsid w:val="00283D98"/>
    <w:rsid w:val="00286C15"/>
    <w:rsid w:val="00291D7A"/>
    <w:rsid w:val="00294199"/>
    <w:rsid w:val="0029464D"/>
    <w:rsid w:val="00295EB9"/>
    <w:rsid w:val="0029634D"/>
    <w:rsid w:val="0029751C"/>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1D7E"/>
    <w:rsid w:val="0036561D"/>
    <w:rsid w:val="003665BE"/>
    <w:rsid w:val="003714F8"/>
    <w:rsid w:val="003845B7"/>
    <w:rsid w:val="00384A08"/>
    <w:rsid w:val="00387674"/>
    <w:rsid w:val="00387E6F"/>
    <w:rsid w:val="00392910"/>
    <w:rsid w:val="0039370F"/>
    <w:rsid w:val="003967E5"/>
    <w:rsid w:val="0039751D"/>
    <w:rsid w:val="003A23FD"/>
    <w:rsid w:val="003A753A"/>
    <w:rsid w:val="003B3803"/>
    <w:rsid w:val="003B51F6"/>
    <w:rsid w:val="003C2A71"/>
    <w:rsid w:val="003D09FB"/>
    <w:rsid w:val="003D2202"/>
    <w:rsid w:val="003D55F0"/>
    <w:rsid w:val="003D5D3F"/>
    <w:rsid w:val="003E164D"/>
    <w:rsid w:val="003E1CB6"/>
    <w:rsid w:val="003E3CF6"/>
    <w:rsid w:val="003E6832"/>
    <w:rsid w:val="003E73A7"/>
    <w:rsid w:val="003E759F"/>
    <w:rsid w:val="003E7853"/>
    <w:rsid w:val="003F049C"/>
    <w:rsid w:val="003F24FB"/>
    <w:rsid w:val="003F3BB1"/>
    <w:rsid w:val="003F57AB"/>
    <w:rsid w:val="00400FD9"/>
    <w:rsid w:val="004016F7"/>
    <w:rsid w:val="00403373"/>
    <w:rsid w:val="00406C81"/>
    <w:rsid w:val="00411A8C"/>
    <w:rsid w:val="00411AB9"/>
    <w:rsid w:val="004120BF"/>
    <w:rsid w:val="00412545"/>
    <w:rsid w:val="00413D0E"/>
    <w:rsid w:val="0041475A"/>
    <w:rsid w:val="00416029"/>
    <w:rsid w:val="00417237"/>
    <w:rsid w:val="00422136"/>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26CB"/>
    <w:rsid w:val="00494EE0"/>
    <w:rsid w:val="0049666B"/>
    <w:rsid w:val="004A0486"/>
    <w:rsid w:val="004A463B"/>
    <w:rsid w:val="004C1967"/>
    <w:rsid w:val="004C6405"/>
    <w:rsid w:val="004C791C"/>
    <w:rsid w:val="004D23D0"/>
    <w:rsid w:val="004D2BE0"/>
    <w:rsid w:val="004D3C28"/>
    <w:rsid w:val="004D5856"/>
    <w:rsid w:val="004E6EF5"/>
    <w:rsid w:val="004F1BFE"/>
    <w:rsid w:val="004F5859"/>
    <w:rsid w:val="004F5E5D"/>
    <w:rsid w:val="00504060"/>
    <w:rsid w:val="00506409"/>
    <w:rsid w:val="005101B4"/>
    <w:rsid w:val="00513E04"/>
    <w:rsid w:val="005211CA"/>
    <w:rsid w:val="0052300F"/>
    <w:rsid w:val="00530E32"/>
    <w:rsid w:val="00533132"/>
    <w:rsid w:val="00535FFA"/>
    <w:rsid w:val="005367BE"/>
    <w:rsid w:val="00537210"/>
    <w:rsid w:val="00545FF9"/>
    <w:rsid w:val="005475CA"/>
    <w:rsid w:val="00555ACA"/>
    <w:rsid w:val="005649F4"/>
    <w:rsid w:val="005659DE"/>
    <w:rsid w:val="005710C8"/>
    <w:rsid w:val="005711A3"/>
    <w:rsid w:val="00571A5C"/>
    <w:rsid w:val="00573B2B"/>
    <w:rsid w:val="005757B9"/>
    <w:rsid w:val="005776E9"/>
    <w:rsid w:val="005779DB"/>
    <w:rsid w:val="00581FAE"/>
    <w:rsid w:val="00582020"/>
    <w:rsid w:val="00585300"/>
    <w:rsid w:val="00587AD9"/>
    <w:rsid w:val="005909A8"/>
    <w:rsid w:val="005A007E"/>
    <w:rsid w:val="005A2527"/>
    <w:rsid w:val="005A497F"/>
    <w:rsid w:val="005A4F04"/>
    <w:rsid w:val="005A6196"/>
    <w:rsid w:val="005A7A3F"/>
    <w:rsid w:val="005B2BEB"/>
    <w:rsid w:val="005B5793"/>
    <w:rsid w:val="005C320A"/>
    <w:rsid w:val="005C3C08"/>
    <w:rsid w:val="005C6B30"/>
    <w:rsid w:val="005C71EC"/>
    <w:rsid w:val="005D1707"/>
    <w:rsid w:val="005D1E9D"/>
    <w:rsid w:val="005D1FAA"/>
    <w:rsid w:val="005D29B1"/>
    <w:rsid w:val="005D62FC"/>
    <w:rsid w:val="005E3571"/>
    <w:rsid w:val="005E764C"/>
    <w:rsid w:val="005E7F7D"/>
    <w:rsid w:val="005F5EF2"/>
    <w:rsid w:val="006063D4"/>
    <w:rsid w:val="00610E3E"/>
    <w:rsid w:val="00614432"/>
    <w:rsid w:val="00614ED0"/>
    <w:rsid w:val="006174CC"/>
    <w:rsid w:val="0062056B"/>
    <w:rsid w:val="00620E6C"/>
    <w:rsid w:val="00621E51"/>
    <w:rsid w:val="00623B37"/>
    <w:rsid w:val="00623C4E"/>
    <w:rsid w:val="006243EF"/>
    <w:rsid w:val="00624ABE"/>
    <w:rsid w:val="00626589"/>
    <w:rsid w:val="006311F4"/>
    <w:rsid w:val="006330A2"/>
    <w:rsid w:val="006343B4"/>
    <w:rsid w:val="00642EB6"/>
    <w:rsid w:val="006433E2"/>
    <w:rsid w:val="00650BB5"/>
    <w:rsid w:val="00651E5D"/>
    <w:rsid w:val="00653BF6"/>
    <w:rsid w:val="00654BAD"/>
    <w:rsid w:val="006552DA"/>
    <w:rsid w:val="00655350"/>
    <w:rsid w:val="00656BF1"/>
    <w:rsid w:val="006623A3"/>
    <w:rsid w:val="006640DC"/>
    <w:rsid w:val="0067407B"/>
    <w:rsid w:val="006776D1"/>
    <w:rsid w:val="00677F11"/>
    <w:rsid w:val="00680929"/>
    <w:rsid w:val="00680D6E"/>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4EA1"/>
    <w:rsid w:val="006E60EE"/>
    <w:rsid w:val="006E6F23"/>
    <w:rsid w:val="006F2EEF"/>
    <w:rsid w:val="006F5099"/>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7F6"/>
    <w:rsid w:val="00797CAA"/>
    <w:rsid w:val="007A2B6F"/>
    <w:rsid w:val="007A39C0"/>
    <w:rsid w:val="007A6607"/>
    <w:rsid w:val="007A6BD2"/>
    <w:rsid w:val="007B10C1"/>
    <w:rsid w:val="007B1924"/>
    <w:rsid w:val="007B2D6D"/>
    <w:rsid w:val="007C2658"/>
    <w:rsid w:val="007D3B22"/>
    <w:rsid w:val="007D59A2"/>
    <w:rsid w:val="007E20D0"/>
    <w:rsid w:val="007E3DAB"/>
    <w:rsid w:val="007F6513"/>
    <w:rsid w:val="008053B3"/>
    <w:rsid w:val="0080554A"/>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5E80"/>
    <w:rsid w:val="00887D7F"/>
    <w:rsid w:val="00891662"/>
    <w:rsid w:val="00892F6F"/>
    <w:rsid w:val="00893BAD"/>
    <w:rsid w:val="00896F7E"/>
    <w:rsid w:val="008A30C2"/>
    <w:rsid w:val="008A3769"/>
    <w:rsid w:val="008B28D7"/>
    <w:rsid w:val="008C2A29"/>
    <w:rsid w:val="008C2DB2"/>
    <w:rsid w:val="008C7A2B"/>
    <w:rsid w:val="008D2B87"/>
    <w:rsid w:val="008D5CB3"/>
    <w:rsid w:val="008D770E"/>
    <w:rsid w:val="008D7892"/>
    <w:rsid w:val="008E04C9"/>
    <w:rsid w:val="008E52CF"/>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457B7"/>
    <w:rsid w:val="00952853"/>
    <w:rsid w:val="00953C69"/>
    <w:rsid w:val="00953C9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B7EA1"/>
    <w:rsid w:val="009C2378"/>
    <w:rsid w:val="009C4750"/>
    <w:rsid w:val="009C5A77"/>
    <w:rsid w:val="009C5D99"/>
    <w:rsid w:val="009D016F"/>
    <w:rsid w:val="009D4AF0"/>
    <w:rsid w:val="009E251D"/>
    <w:rsid w:val="009E4817"/>
    <w:rsid w:val="009F0B7C"/>
    <w:rsid w:val="009F10A8"/>
    <w:rsid w:val="009F715C"/>
    <w:rsid w:val="00A01B65"/>
    <w:rsid w:val="00A02F49"/>
    <w:rsid w:val="00A10FB8"/>
    <w:rsid w:val="00A171F4"/>
    <w:rsid w:val="00A1772D"/>
    <w:rsid w:val="00A177B2"/>
    <w:rsid w:val="00A179F7"/>
    <w:rsid w:val="00A20C22"/>
    <w:rsid w:val="00A24EFC"/>
    <w:rsid w:val="00A27829"/>
    <w:rsid w:val="00A371EC"/>
    <w:rsid w:val="00A374F5"/>
    <w:rsid w:val="00A41BE6"/>
    <w:rsid w:val="00A465E6"/>
    <w:rsid w:val="00A46F1E"/>
    <w:rsid w:val="00A47F70"/>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3C90"/>
    <w:rsid w:val="00AD70E4"/>
    <w:rsid w:val="00AE4AB4"/>
    <w:rsid w:val="00AF2E44"/>
    <w:rsid w:val="00AF3B3A"/>
    <w:rsid w:val="00AF4E8E"/>
    <w:rsid w:val="00AF6569"/>
    <w:rsid w:val="00B06265"/>
    <w:rsid w:val="00B06AEC"/>
    <w:rsid w:val="00B11185"/>
    <w:rsid w:val="00B1299E"/>
    <w:rsid w:val="00B22DF6"/>
    <w:rsid w:val="00B30C19"/>
    <w:rsid w:val="00B33E71"/>
    <w:rsid w:val="00B345D8"/>
    <w:rsid w:val="00B34767"/>
    <w:rsid w:val="00B41644"/>
    <w:rsid w:val="00B5145D"/>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764C"/>
    <w:rsid w:val="00BE56DB"/>
    <w:rsid w:val="00BE655D"/>
    <w:rsid w:val="00BE6771"/>
    <w:rsid w:val="00BF2EE8"/>
    <w:rsid w:val="00BF56B2"/>
    <w:rsid w:val="00C055AB"/>
    <w:rsid w:val="00C05823"/>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A2BE7"/>
    <w:rsid w:val="00CA4A09"/>
    <w:rsid w:val="00CA56B4"/>
    <w:rsid w:val="00CB24EA"/>
    <w:rsid w:val="00CB6135"/>
    <w:rsid w:val="00CB71DD"/>
    <w:rsid w:val="00CC157B"/>
    <w:rsid w:val="00CC4970"/>
    <w:rsid w:val="00CC5A63"/>
    <w:rsid w:val="00CC787C"/>
    <w:rsid w:val="00CD151C"/>
    <w:rsid w:val="00CE0FF2"/>
    <w:rsid w:val="00CE5E3F"/>
    <w:rsid w:val="00CF36C9"/>
    <w:rsid w:val="00D00EC4"/>
    <w:rsid w:val="00D0148F"/>
    <w:rsid w:val="00D01B73"/>
    <w:rsid w:val="00D166AC"/>
    <w:rsid w:val="00D200BF"/>
    <w:rsid w:val="00D24C0A"/>
    <w:rsid w:val="00D316A5"/>
    <w:rsid w:val="00D31788"/>
    <w:rsid w:val="00D34AF5"/>
    <w:rsid w:val="00D34F6F"/>
    <w:rsid w:val="00D36BA2"/>
    <w:rsid w:val="00D37CF4"/>
    <w:rsid w:val="00D4343E"/>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431A"/>
    <w:rsid w:val="00D96115"/>
    <w:rsid w:val="00D976E4"/>
    <w:rsid w:val="00DA0266"/>
    <w:rsid w:val="00DA138B"/>
    <w:rsid w:val="00DA477E"/>
    <w:rsid w:val="00DB01DB"/>
    <w:rsid w:val="00DB2BD1"/>
    <w:rsid w:val="00DB2E75"/>
    <w:rsid w:val="00DB3DF3"/>
    <w:rsid w:val="00DB47F3"/>
    <w:rsid w:val="00DB4886"/>
    <w:rsid w:val="00DB4BB0"/>
    <w:rsid w:val="00DE12B7"/>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321B"/>
    <w:rsid w:val="00E7116D"/>
    <w:rsid w:val="00E72429"/>
    <w:rsid w:val="00E812B2"/>
    <w:rsid w:val="00E86DEC"/>
    <w:rsid w:val="00E90524"/>
    <w:rsid w:val="00E914D1"/>
    <w:rsid w:val="00E95801"/>
    <w:rsid w:val="00E95972"/>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11C"/>
    <w:rsid w:val="00F353EA"/>
    <w:rsid w:val="00F36C27"/>
    <w:rsid w:val="00F44B05"/>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A4BD0"/>
    <w:rsid w:val="00FB0DB2"/>
    <w:rsid w:val="00FB4F63"/>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559395036">
      <w:bodyDiv w:val="1"/>
      <w:marLeft w:val="0"/>
      <w:marRight w:val="0"/>
      <w:marTop w:val="0"/>
      <w:marBottom w:val="0"/>
      <w:divBdr>
        <w:top w:val="none" w:sz="0" w:space="0" w:color="auto"/>
        <w:left w:val="none" w:sz="0" w:space="0" w:color="auto"/>
        <w:bottom w:val="none" w:sz="0" w:space="0" w:color="auto"/>
        <w:right w:val="none" w:sz="0" w:space="0" w:color="auto"/>
      </w:divBdr>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892</Words>
  <Characters>5624</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12</cp:revision>
  <cp:lastPrinted>2021-10-28T15:19:00Z</cp:lastPrinted>
  <dcterms:created xsi:type="dcterms:W3CDTF">2025-03-21T09:53:00Z</dcterms:created>
  <dcterms:modified xsi:type="dcterms:W3CDTF">2025-04-14T11:01:00Z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671b9ed7,7c907ec7,55aaeff3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2025-03-21T09:55:22Z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c5106e28-319c-4dde-9a33-7f3c30e919e3</vt:lpwstr>
  </property>
  <property fmtid="{D5CDD505-2E9C-101B-9397-08002B2CF9AE}" pid="21" name="MSIP_Label_df1a195f-122b-42dc-a2d3-71a1903dcdac_ContentBits">
    <vt:lpwstr>1</vt:lpwstr>
  </property>
</Properties>
</file>